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4A6" w:rsidRDefault="00BE1EF6" w:rsidP="009434A6">
      <w:pPr>
        <w:spacing w:line="480" w:lineRule="auto"/>
      </w:pPr>
      <w:bookmarkStart w:id="0" w:name="_GoBack"/>
      <w:bookmarkEnd w:id="0"/>
      <w:r>
        <w:t>Name</w:t>
      </w:r>
    </w:p>
    <w:p w:rsidR="009434A6" w:rsidRDefault="00BE1EF6" w:rsidP="009434A6">
      <w:pPr>
        <w:spacing w:line="480" w:lineRule="auto"/>
      </w:pPr>
      <w:r>
        <w:t>Tutor</w:t>
      </w:r>
    </w:p>
    <w:p w:rsidR="009434A6" w:rsidRDefault="00BE1EF6" w:rsidP="009434A6">
      <w:pPr>
        <w:spacing w:line="480" w:lineRule="auto"/>
      </w:pPr>
      <w:r>
        <w:t>Course</w:t>
      </w:r>
    </w:p>
    <w:p w:rsidR="009434A6" w:rsidRDefault="00BE1EF6" w:rsidP="00BE1EF6">
      <w:pPr>
        <w:tabs>
          <w:tab w:val="left" w:pos="1020"/>
        </w:tabs>
        <w:spacing w:line="480" w:lineRule="auto"/>
      </w:pPr>
      <w:r>
        <w:t>Date</w:t>
      </w:r>
    </w:p>
    <w:p w:rsidR="00BE1EF6" w:rsidRDefault="00BE1EF6" w:rsidP="00BE1EF6">
      <w:pPr>
        <w:spacing w:line="480" w:lineRule="auto"/>
        <w:jc w:val="center"/>
      </w:pPr>
      <w:r>
        <w:t>Analysis: Corporate Social Responsibility (CSR)</w:t>
      </w:r>
    </w:p>
    <w:p w:rsidR="00BE1EF6" w:rsidRDefault="00BE1EF6" w:rsidP="00BE1EF6">
      <w:pPr>
        <w:spacing w:line="480" w:lineRule="auto"/>
        <w:ind w:firstLine="720"/>
      </w:pPr>
      <w:r>
        <w:t>In their article, Multinational companies: Can they foster well-being in the eyes of the poor? Results from an empirical study by Strotmann, Volkert, &amp; Schimidt address researchers’ concerns that the CSR approach does not meet the claim of mutually beneficial impacts. According to Strotmann et al., (3), “when attending to CSR activities to the poor, corporations fail to understand and consider the concerns of the poor comprehensively.” The authors believe that the business case model of the CSR tends to overlook vital activities such as poverty alleviation, which, according to the scholars, is the best position for favorable economic positions. Instead, multinational corporations have endeavored in exerting oppression to developing nations where the common citizens are marginalized and cannot defend themselves subsequently resulting in constant detriment of the poor societies. The theme of the authors’ article was to show that the MVP CSR activities produced discernible impacts on people’s wellbeing. This essay will prove that Strotmann et al. article is clear, informative, viable, and meets its purpose. To achieve the goals, I will outline the main ideas in the article coupled with a comprehensive analysis followed by my opinionated conclusion on the effectiveness of the Strotmann et al. essay.</w:t>
      </w:r>
    </w:p>
    <w:p w:rsidR="00BE1EF6" w:rsidRDefault="00BE1EF6" w:rsidP="00BE1EF6">
      <w:pPr>
        <w:spacing w:line="480" w:lineRule="auto"/>
        <w:jc w:val="center"/>
      </w:pPr>
    </w:p>
    <w:p w:rsidR="00BE1EF6" w:rsidRDefault="00BE1EF6" w:rsidP="00BE1EF6">
      <w:pPr>
        <w:spacing w:line="480" w:lineRule="auto"/>
        <w:jc w:val="center"/>
      </w:pPr>
      <w:r>
        <w:lastRenderedPageBreak/>
        <w:t>Summary of the Main Idea</w:t>
      </w:r>
    </w:p>
    <w:p w:rsidR="00BE1EF6" w:rsidRDefault="00BE1EF6" w:rsidP="00BE1EF6">
      <w:pPr>
        <w:spacing w:line="480" w:lineRule="auto"/>
        <w:ind w:firstLine="720"/>
      </w:pPr>
      <w:r>
        <w:t>The Strotmann, Volkert, and Schimidt’s article addressed the researchers’ conception that CSR model has neglected the multidimensionality of poverty. To achieve the goal, the authors developed their primary experimental analysis on the theoretical framework of Amartya Sen’s Capability Approach which is based on Bayer Model Project (MVP) in India (Strotmann, Volkert &amp; Schimidt 2). Amartya Sen’s Model is vital because it covers the researchers' concerns on the idea of multidimensionality of poverty. The fact that Sen’s theoretical model is grounded on ethical principles makes it a perfect standard reference on the impacts of CSR activities on the wellbeing of people.</w:t>
      </w:r>
    </w:p>
    <w:p w:rsidR="00BE1EF6" w:rsidRDefault="00BE1EF6" w:rsidP="00BE1EF6">
      <w:pPr>
        <w:spacing w:line="480" w:lineRule="auto"/>
        <w:ind w:firstLine="720"/>
      </w:pPr>
      <w:r>
        <w:t xml:space="preserve">The authors’ choice of focusing on Karnataka region in India is interesting since Karnataka meets all qualities of a typical village consisting low-income people which is particularly apt to the researcher's concerns on CSR activities in poor communities. To add more weight, MVP project was subject to section 135 of the 2013 India Companies Act, which requires the financial institution to use 2% of their net profit over the three preceding fiscal years on CSR initiatives (Strotmann et al., 2). The importance of this observation is that corporations have to comply with robust regulations by the government while implementing social programs that will improve the lives of people. Therefore, the authors revealed a significant factor that hampers corporations’ efforts in making progress in different corners of the globe. </w:t>
      </w:r>
    </w:p>
    <w:p w:rsidR="00BE1EF6" w:rsidRDefault="00BE1EF6" w:rsidP="00BE1EF6">
      <w:pPr>
        <w:spacing w:line="480" w:lineRule="auto"/>
        <w:ind w:firstLine="720"/>
      </w:pPr>
      <w:r>
        <w:t xml:space="preserve">The research was viable as characterized by the choice of methods applied in collecting data about well-being change in Karnataka villages as attributed by MVP CSR activities. Specifically, the evaluation of MVP project’s impact on poor communities incorporated two model villages and two control Indian villages, which were conducted by external independent assessment teams to eliminate potential biases that may arise from evaluation by internal </w:t>
      </w:r>
      <w:r>
        <w:lastRenderedPageBreak/>
        <w:t xml:space="preserve">employees of MVP. This approach is critical since the data collected will not favor the corporation or the community. Furthermore, Strotmann et al. article appropriateness result from the fact that the model used as a standard reference, responds accurately to researchers’ issues on the wide scope of poverty.  The logic behind this assertion is that in Sen’s model, poverty is understood to be deprivation in living a good life and development known as capability of growth or expansion. Thus, in Capability Approach (CA), assessment of society wellbeing and human development demands the project and its assessment to direct attention to individuals and learn what they perceive to be important, which is the exact procedure applied in the Strotmann et al. review article. To cement viability through producing credible outcomes, the article included a combination of qualitative and quantitative methods in evaluating the experimental villages. </w:t>
      </w:r>
    </w:p>
    <w:p w:rsidR="00BE1EF6" w:rsidRDefault="00BE1EF6" w:rsidP="00BE1EF6">
      <w:pPr>
        <w:spacing w:line="480" w:lineRule="auto"/>
        <w:ind w:firstLine="720"/>
      </w:pPr>
      <w:r>
        <w:t>Another important factor in the article is that it assessed many villages, an important approach to increase the accuracy of the results. Also, both the model control villages were all located in Karnataka area. The importance of the choice of location is to ensure all the villages were within the radius of Karnataka, the exact area where the MVP project was located. Also, the authors’ choice of this location was to eliminate any possibility of external activities that could be attributed to improving the wellbeing of the Karnataka residents. Therefore, the numbers and the location of the villages used as subjects of the assessment improves the precision of the outcome, a move that shows the authors’ accuracy in answering development researchers questions.</w:t>
      </w:r>
    </w:p>
    <w:p w:rsidR="00BE1EF6" w:rsidRDefault="00BE1EF6" w:rsidP="00BE1EF6">
      <w:pPr>
        <w:spacing w:line="480" w:lineRule="auto"/>
        <w:ind w:firstLine="720"/>
      </w:pPr>
      <w:r>
        <w:t xml:space="preserve">Moreover, the villages assessed in the article consist of archetypal village characteristics such as composition, infrastructure, employment, health care facilities, and education to determine the degree of growth resulting from the activities introduced by the MVP project. </w:t>
      </w:r>
      <w:r>
        <w:lastRenderedPageBreak/>
        <w:t xml:space="preserve">Also, the article sets a basis of contrast since it provides the baseline, which was the initial state before the introduction of the CSR activities. For instance, Strotmann et al., (5), hints that “in 2011, the researchers set the quantitative baseline as 1000 households and approximately 2300 individuals”. The importance of a baseline is to provide an initial comparison which will be used to measure the growth of Karnataka region. Therefore, the authors’ provided significant statistics to counter development researcher’s assertion that CSR activities have no clear impact to the livelihoods of poor communities, which might persuade them to think again on their assertions that CSR model, fails to consider the peoples’ well-being in poor communities.   </w:t>
      </w:r>
    </w:p>
    <w:p w:rsidR="00BE1EF6" w:rsidRDefault="00BE1EF6" w:rsidP="00BE1EF6">
      <w:pPr>
        <w:spacing w:line="480" w:lineRule="auto"/>
        <w:ind w:firstLine="720"/>
      </w:pPr>
      <w:r>
        <w:t xml:space="preserve">The authors concluded with two crucial remarks that the Bayer Crop Science MVP assessment made it clear that corporations can improve the well-being as conceptualized by the poor people in local areas. However, the authors affirmed that their article did not imply that international businesses, in general, do not have negative impacts that might be detrimental to the wellbeing of the local communities. </w:t>
      </w:r>
    </w:p>
    <w:p w:rsidR="00BE1EF6" w:rsidRDefault="00BE1EF6" w:rsidP="00BE1EF6">
      <w:pPr>
        <w:spacing w:line="480" w:lineRule="auto"/>
        <w:jc w:val="center"/>
      </w:pPr>
      <w:r>
        <w:t>Analysis</w:t>
      </w:r>
    </w:p>
    <w:p w:rsidR="00BE1EF6" w:rsidRDefault="00BE1EF6" w:rsidP="00BE1EF6">
      <w:pPr>
        <w:spacing w:line="480" w:lineRule="auto"/>
        <w:ind w:firstLine="720"/>
      </w:pPr>
      <w:r>
        <w:t>What I like about Strotmann et al. article is its viability and persuasiveness, which is brought by its clear writing effectiveness, standard models, research techniques, and the choice of case studies. The authors utilize a language that meets the threshold of a research experiment. This implies that the results of the empirical analysis are accurate and thus persuasive to the intended audience who are the researchers.  For instance, to answer the developmental researchers’ concerns that the CSR model has disdained the multidimensionality of poverty, the authors selected two of the poorest villages in India with archetypal village characteristics.</w:t>
      </w:r>
    </w:p>
    <w:p w:rsidR="00BE1EF6" w:rsidRDefault="00BE1EF6" w:rsidP="00BE1EF6">
      <w:pPr>
        <w:spacing w:line="480" w:lineRule="auto"/>
        <w:ind w:firstLine="720"/>
      </w:pPr>
      <w:r>
        <w:lastRenderedPageBreak/>
        <w:t>Along with an empirical analysis format, the authors presented all the challenges and positive impacts of MPV in rural India, which according to me refuted all the researcher claims that CSR activities do not meet the poor cultures’ demands. Also, researchers prefer empirical evidence to clear any doubts and thus making Strotmann et al. article a good persuasive article. What I did not like about the article is that in making its conclusions on the impacts of corporations on communities is that it focused on positive impacts and disregarded the negative impacts. In my opinion, a good assessment compares positive and negative impacts. However, the weaknesses apparent in the article do not surpass the positive impacts of CSR in rural India. Moreover, the authors’ main aim was to show the importance of conducting CSR impacts assessments. Therefore, despite not evaluating the negative impacts of CSR impacts in Karnakara region, the Strotmann et al. article still achieved its purpose on persuading researchers to base their assertions CSR impacts to poor communities on empirical research.</w:t>
      </w:r>
    </w:p>
    <w:p w:rsidR="00BE1EF6" w:rsidRDefault="00BE1EF6" w:rsidP="00BE1EF6">
      <w:pPr>
        <w:spacing w:line="480" w:lineRule="auto"/>
        <w:jc w:val="center"/>
      </w:pPr>
      <w:r>
        <w:t>Conclusion</w:t>
      </w:r>
    </w:p>
    <w:p w:rsidR="009434A6" w:rsidRDefault="00BE1EF6" w:rsidP="00BE1EF6">
      <w:pPr>
        <w:spacing w:line="480" w:lineRule="auto"/>
        <w:ind w:firstLine="720"/>
      </w:pPr>
      <w:r>
        <w:t>The study aimed to determine the effectiveness of Strotmann et al. article. The critical analysis of the articles has proved it as informative, viable, and meeting its purpose. The viability is supported by a proven model, which was utilized in examining the impact of CSR impact of the well-being of the people living in rural India. According to Sen’s theory, an individual’s well-being results from many factors such as enough sleep, exercise, a good career, or a sense of belonging. Strotmann et al. article reviewed all these factors before making their conclusions on the impacts of CSR on different social-culture contexts.  Therefore, in my opinion, the Strotmann et al. article is not only vital to researchers, who were intended audience, but also to everyone who would want to understand an appropriate way of assessing CSR impacts to different communities.</w:t>
      </w:r>
    </w:p>
    <w:p w:rsidR="00D75704" w:rsidRDefault="00D75704" w:rsidP="00BE1EF6">
      <w:pPr>
        <w:spacing w:line="480" w:lineRule="auto"/>
        <w:jc w:val="center"/>
      </w:pPr>
      <w:r>
        <w:lastRenderedPageBreak/>
        <w:t>Works Cited</w:t>
      </w:r>
    </w:p>
    <w:p w:rsidR="00D75704" w:rsidRPr="007514CA" w:rsidRDefault="000E0025" w:rsidP="007514CA">
      <w:pPr>
        <w:pStyle w:val="Bibliography"/>
        <w:spacing w:line="480" w:lineRule="auto"/>
        <w:ind w:left="720" w:hanging="720"/>
        <w:rPr>
          <w:noProof/>
        </w:rPr>
      </w:pPr>
      <w:r w:rsidRPr="007514CA">
        <w:fldChar w:fldCharType="begin"/>
      </w:r>
      <w:r w:rsidR="00D75704" w:rsidRPr="007514CA">
        <w:instrText xml:space="preserve"> BIBLIOGRAPHY  \l 1033 </w:instrText>
      </w:r>
      <w:r w:rsidRPr="007514CA">
        <w:fldChar w:fldCharType="separate"/>
      </w:r>
      <w:r w:rsidR="00D75704" w:rsidRPr="007514CA">
        <w:rPr>
          <w:noProof/>
        </w:rPr>
        <w:t>Herald Strotmann, Julgen Volkert, &amp; Melinda Schimidt. "Multinational Companies: can they foster well-being in the eyes of the poor? Results from an empirical study." International Journal of Corporate Social Responsibility (2019): 1-14.</w:t>
      </w:r>
    </w:p>
    <w:p w:rsidR="00D75704" w:rsidRPr="00DB1356" w:rsidRDefault="000E0025" w:rsidP="009434A6">
      <w:pPr>
        <w:spacing w:line="480" w:lineRule="auto"/>
        <w:ind w:left="720" w:hanging="720"/>
      </w:pPr>
      <w:r w:rsidRPr="007514CA">
        <w:fldChar w:fldCharType="end"/>
      </w:r>
    </w:p>
    <w:p w:rsidR="009B3C05" w:rsidRDefault="009B3C05" w:rsidP="009B3C05">
      <w:pPr>
        <w:spacing w:line="480" w:lineRule="auto"/>
        <w:ind w:left="720" w:hanging="720"/>
      </w:pPr>
    </w:p>
    <w:sectPr w:rsidR="009B3C05"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E49" w:rsidRDefault="003A3E49" w:rsidP="00801721">
      <w:pPr>
        <w:spacing w:after="0" w:line="240" w:lineRule="auto"/>
      </w:pPr>
      <w:r>
        <w:separator/>
      </w:r>
    </w:p>
  </w:endnote>
  <w:endnote w:type="continuationSeparator" w:id="0">
    <w:p w:rsidR="003A3E49" w:rsidRDefault="003A3E49" w:rsidP="00801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E49" w:rsidRDefault="003A3E49" w:rsidP="00801721">
      <w:pPr>
        <w:spacing w:after="0" w:line="240" w:lineRule="auto"/>
      </w:pPr>
      <w:r>
        <w:separator/>
      </w:r>
    </w:p>
  </w:footnote>
  <w:footnote w:type="continuationSeparator" w:id="0">
    <w:p w:rsidR="003A3E49" w:rsidRDefault="003A3E49" w:rsidP="00801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B28" w:rsidRDefault="00552B28">
    <w:pPr>
      <w:pStyle w:val="Header"/>
      <w:jc w:val="right"/>
    </w:pPr>
    <w:r>
      <w:t xml:space="preserve">Surname </w:t>
    </w:r>
    <w:sdt>
      <w:sdtPr>
        <w:id w:val="9021518"/>
        <w:docPartObj>
          <w:docPartGallery w:val="Page Numbers (Top of Page)"/>
          <w:docPartUnique/>
        </w:docPartObj>
      </w:sdtPr>
      <w:sdtEndPr/>
      <w:sdtContent>
        <w:r w:rsidR="00E4641B">
          <w:fldChar w:fldCharType="begin"/>
        </w:r>
        <w:r w:rsidR="00E4641B">
          <w:instrText xml:space="preserve"> PAGE   \* MERGEFORMAT </w:instrText>
        </w:r>
        <w:r w:rsidR="00E4641B">
          <w:fldChar w:fldCharType="separate"/>
        </w:r>
        <w:r w:rsidR="00F375E0">
          <w:rPr>
            <w:noProof/>
          </w:rPr>
          <w:t>1</w:t>
        </w:r>
        <w:r w:rsidR="00E4641B">
          <w:rPr>
            <w:noProof/>
          </w:rPr>
          <w:fldChar w:fldCharType="end"/>
        </w:r>
      </w:sdtContent>
    </w:sdt>
  </w:p>
  <w:p w:rsidR="00552B28" w:rsidRDefault="00552B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0C4"/>
    <w:rsid w:val="000A2FBF"/>
    <w:rsid w:val="000C7726"/>
    <w:rsid w:val="000D26E9"/>
    <w:rsid w:val="000E0025"/>
    <w:rsid w:val="00105668"/>
    <w:rsid w:val="00124861"/>
    <w:rsid w:val="00142D01"/>
    <w:rsid w:val="0014459D"/>
    <w:rsid w:val="003600D5"/>
    <w:rsid w:val="00366EA3"/>
    <w:rsid w:val="00372976"/>
    <w:rsid w:val="003A3E49"/>
    <w:rsid w:val="003C1D32"/>
    <w:rsid w:val="00410D2D"/>
    <w:rsid w:val="00412788"/>
    <w:rsid w:val="00417E4F"/>
    <w:rsid w:val="00435934"/>
    <w:rsid w:val="004409AD"/>
    <w:rsid w:val="004C5D74"/>
    <w:rsid w:val="004D0FFD"/>
    <w:rsid w:val="004E5815"/>
    <w:rsid w:val="00516464"/>
    <w:rsid w:val="00551CD7"/>
    <w:rsid w:val="00552B28"/>
    <w:rsid w:val="005B38A3"/>
    <w:rsid w:val="005D35CD"/>
    <w:rsid w:val="00632C19"/>
    <w:rsid w:val="00652A5C"/>
    <w:rsid w:val="006843C9"/>
    <w:rsid w:val="007018A9"/>
    <w:rsid w:val="007152C2"/>
    <w:rsid w:val="007514CA"/>
    <w:rsid w:val="0077732A"/>
    <w:rsid w:val="007F045E"/>
    <w:rsid w:val="00801721"/>
    <w:rsid w:val="008127F4"/>
    <w:rsid w:val="0083464E"/>
    <w:rsid w:val="008625DE"/>
    <w:rsid w:val="008B3E9B"/>
    <w:rsid w:val="008D2645"/>
    <w:rsid w:val="008D71F0"/>
    <w:rsid w:val="009102D3"/>
    <w:rsid w:val="009109DD"/>
    <w:rsid w:val="0091530D"/>
    <w:rsid w:val="00937A2C"/>
    <w:rsid w:val="009434A6"/>
    <w:rsid w:val="0094590D"/>
    <w:rsid w:val="00996E19"/>
    <w:rsid w:val="009B3C05"/>
    <w:rsid w:val="009B4863"/>
    <w:rsid w:val="00A10479"/>
    <w:rsid w:val="00A86CA0"/>
    <w:rsid w:val="00A87F3F"/>
    <w:rsid w:val="00AB2F31"/>
    <w:rsid w:val="00AE70C4"/>
    <w:rsid w:val="00AF1E78"/>
    <w:rsid w:val="00B252A0"/>
    <w:rsid w:val="00B26F43"/>
    <w:rsid w:val="00B37BD9"/>
    <w:rsid w:val="00B500F1"/>
    <w:rsid w:val="00B65F39"/>
    <w:rsid w:val="00B70E04"/>
    <w:rsid w:val="00BA639C"/>
    <w:rsid w:val="00BC4566"/>
    <w:rsid w:val="00BE1EF6"/>
    <w:rsid w:val="00BF6333"/>
    <w:rsid w:val="00BF668B"/>
    <w:rsid w:val="00C54475"/>
    <w:rsid w:val="00C71466"/>
    <w:rsid w:val="00C930D1"/>
    <w:rsid w:val="00D201CB"/>
    <w:rsid w:val="00D72AF9"/>
    <w:rsid w:val="00D75704"/>
    <w:rsid w:val="00D76689"/>
    <w:rsid w:val="00D85078"/>
    <w:rsid w:val="00DB1356"/>
    <w:rsid w:val="00DB65A0"/>
    <w:rsid w:val="00DE2751"/>
    <w:rsid w:val="00E2226A"/>
    <w:rsid w:val="00E4641B"/>
    <w:rsid w:val="00E76C84"/>
    <w:rsid w:val="00EE257D"/>
    <w:rsid w:val="00EE2C20"/>
    <w:rsid w:val="00F375E0"/>
    <w:rsid w:val="00F709F0"/>
    <w:rsid w:val="00FC4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D6DD3-F303-44C9-B15F-B8666DFE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21"/>
  </w:style>
  <w:style w:type="paragraph" w:styleId="Footer">
    <w:name w:val="footer"/>
    <w:basedOn w:val="Normal"/>
    <w:link w:val="FooterChar"/>
    <w:uiPriority w:val="99"/>
    <w:semiHidden/>
    <w:unhideWhenUsed/>
    <w:rsid w:val="008017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1721"/>
  </w:style>
  <w:style w:type="paragraph" w:styleId="Bibliography">
    <w:name w:val="Bibliography"/>
    <w:basedOn w:val="Normal"/>
    <w:next w:val="Normal"/>
    <w:uiPriority w:val="37"/>
    <w:unhideWhenUsed/>
    <w:rsid w:val="009B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Her19</b:Tag>
    <b:SourceType>JournalArticle</b:SourceType>
    <b:Guid>{EAC83A66-C156-4CCE-BD04-9835C8AB9876}</b:Guid>
    <b:Author>
      <b:Author>
        <b:NameList>
          <b:Person>
            <b:Last>Herald Strotmann</b:Last>
            <b:First>Julgen</b:First>
            <b:Middle>Volkert, &amp; Melinda Schimidt</b:Middle>
          </b:Person>
        </b:NameList>
      </b:Author>
    </b:Author>
    <b:Title>Multinational Companies: can they foster well-being in the eyes of the poor? Results from an empirical study</b:Title>
    <b:Year>2019</b:Year>
    <b:JournalName>International Journal of Corporate Social Responsibility</b:JournalName>
    <b:Pages>1-14</b:Pages>
    <b:RefOrder>1</b:RefOrder>
  </b:Source>
  <b:Source>
    <b:Tag>Emm11</b:Tag>
    <b:SourceType>JournalArticle</b:SourceType>
    <b:Guid>{0F04BE4C-9EB3-439F-BE7C-B57BC23A0E75}</b:Guid>
    <b:Author>
      <b:Author>
        <b:NameList>
          <b:Person>
            <b:Last>Emma</b:Last>
            <b:First>Diener.</b:First>
          </b:Person>
        </b:NameList>
      </b:Author>
    </b:Author>
    <b:Title>Subjective Well-being</b:Title>
    <b:JournalName>The Science of Wellbeing</b:JournalName>
    <b:Year>2011</b:Year>
    <b:Pages>11-58</b:Pages>
    <b:RefOrder>2</b:RefOrder>
  </b:Source>
  <b:Source>
    <b:Tag>Dav74</b:Tag>
    <b:SourceType>Book</b:SourceType>
    <b:Guid>{356234E2-0217-48FF-8BE2-AB20A21EA1A1}</b:Guid>
    <b:Author>
      <b:Author>
        <b:NameList>
          <b:Person>
            <b:Last>Jacobus</b:Last>
            <b:First>Lee.&amp;</b:First>
            <b:Middle>David, Martin.</b:Middle>
          </b:Person>
        </b:NameList>
      </b:Author>
    </b:Author>
    <b:Title>Humanities through the Arts</b:Title>
    <b:Year>1974</b:Year>
    <b:City>New York City</b:City>
    <b:Publisher>McGraw - Hill</b:Publisher>
    <b:RefOrder>1</b:RefOrder>
  </b:Source>
  <b:Source>
    <b:Tag>Szu18</b:Tag>
    <b:SourceType>JournalArticle</b:SourceType>
    <b:Guid>{023E72EB-25AD-4965-AC80-CF8616192D35}</b:Guid>
    <b:Author>
      <b:Author>
        <b:NameList>
          <b:Person>
            <b:Last>Szu - Yen</b:Last>
            <b:First>Lee.</b:First>
          </b:Person>
        </b:NameList>
      </b:Author>
    </b:Author>
    <b:Title>Art and Interpretation</b:Title>
    <b:Year>2018</b:Year>
    <b:JournalName>Internet Encyclopedia of Philosophy</b:JournalName>
    <b:Pages>4-28</b:Pages>
    <b:RefOrder>2</b:RefOrder>
  </b:Source>
</b:Sources>
</file>

<file path=customXml/itemProps1.xml><?xml version="1.0" encoding="utf-8"?>
<ds:datastoreItem xmlns:ds="http://schemas.openxmlformats.org/officeDocument/2006/customXml" ds:itemID="{907DD863-5F67-4789-9276-57AC028B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ADMIN</cp:lastModifiedBy>
  <cp:revision>2</cp:revision>
  <dcterms:created xsi:type="dcterms:W3CDTF">2019-07-04T16:16:00Z</dcterms:created>
  <dcterms:modified xsi:type="dcterms:W3CDTF">2019-07-04T16:16:00Z</dcterms:modified>
</cp:coreProperties>
</file>